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2A3" w:rsidRDefault="001362A3" w:rsidP="001362A3">
      <w:pPr>
        <w:tabs>
          <w:tab w:val="left" w:pos="1080"/>
        </w:tabs>
        <w:spacing w:line="360" w:lineRule="auto"/>
        <w:jc w:val="both"/>
        <w:rPr>
          <w:rFonts w:ascii="Arial" w:hAnsi="Arial" w:cs="Tahoma"/>
          <w:b/>
          <w:lang w:val="es-MX"/>
        </w:rPr>
      </w:pPr>
      <w:r>
        <w:rPr>
          <w:rFonts w:ascii="Arial" w:hAnsi="Arial" w:cs="Tahoma"/>
          <w:b/>
          <w:lang w:val="es-MX"/>
        </w:rPr>
        <w:t>2.5.0 ANALISIS TEC</w:t>
      </w:r>
      <w:r w:rsidRPr="002557E5">
        <w:rPr>
          <w:rFonts w:ascii="Arial" w:hAnsi="Arial" w:cs="Tahoma"/>
          <w:b/>
          <w:lang w:val="es-MX"/>
        </w:rPr>
        <w:t>NICO DE CAPACIDAD DE SUBESTACIONES</w:t>
      </w:r>
      <w:r>
        <w:rPr>
          <w:rFonts w:ascii="Arial" w:hAnsi="Arial" w:cs="Tahoma"/>
          <w:b/>
          <w:lang w:val="es-MX"/>
        </w:rPr>
        <w:t>.</w:t>
      </w:r>
    </w:p>
    <w:p w:rsidR="001362A3" w:rsidRDefault="001362A3" w:rsidP="001362A3">
      <w:pPr>
        <w:tabs>
          <w:tab w:val="left" w:pos="1080"/>
        </w:tabs>
        <w:spacing w:line="360" w:lineRule="auto"/>
        <w:jc w:val="both"/>
        <w:rPr>
          <w:rFonts w:ascii="Arial" w:hAnsi="Arial" w:cs="Tahoma"/>
          <w:lang w:val="es-MX"/>
        </w:rPr>
      </w:pPr>
      <w:r>
        <w:rPr>
          <w:rFonts w:ascii="Arial" w:hAnsi="Arial" w:cs="Tahoma"/>
          <w:lang w:val="es-MX"/>
        </w:rPr>
        <w:t>(Se recomienda ver diagrama unifilar en anexo ‘’B’’ en conjunto con el análisis técnico de capacidad de subestaciones).</w:t>
      </w:r>
    </w:p>
    <w:p w:rsidR="001362A3" w:rsidRDefault="001362A3" w:rsidP="001362A3">
      <w:pPr>
        <w:tabs>
          <w:tab w:val="left" w:pos="1080"/>
        </w:tabs>
        <w:spacing w:line="360" w:lineRule="auto"/>
        <w:jc w:val="both"/>
        <w:rPr>
          <w:rFonts w:ascii="Arial" w:hAnsi="Arial" w:cs="Tahoma"/>
          <w:lang w:val="es-MX"/>
        </w:rPr>
      </w:pPr>
      <w:r>
        <w:rPr>
          <w:rFonts w:ascii="Arial" w:hAnsi="Arial" w:cs="Tahoma"/>
          <w:lang w:val="es-MX"/>
        </w:rPr>
        <w:t xml:space="preserve">Actualmente subestación ETESAL OPICO cuenta con 50MVA la cual alimenta a subestación de </w:t>
      </w:r>
      <w:proofErr w:type="spellStart"/>
      <w:r>
        <w:rPr>
          <w:rFonts w:ascii="Arial" w:hAnsi="Arial" w:cs="Tahoma"/>
          <w:lang w:val="es-MX"/>
        </w:rPr>
        <w:t>Quezaltepeque</w:t>
      </w:r>
      <w:proofErr w:type="spellEnd"/>
      <w:r>
        <w:rPr>
          <w:rFonts w:ascii="Arial" w:hAnsi="Arial" w:cs="Tahoma"/>
          <w:lang w:val="es-MX"/>
        </w:rPr>
        <w:t xml:space="preserve"> con 14MVA de los cuales solamente están utilizados el 50% de su capacidad y subestación Sitio El Niño con 30MVA de los cuales están utilizados el 50% de su capacidad. Con lo que se hace un total de 22 MVA utilizados por subestación ETESAL OPICO, esto quiere decir que puede entregar una capacidad de 25MVA a subestación ETESAL ATEOS dejando un margen de 3MVA a subestación ETESAL OPICO.</w:t>
      </w:r>
    </w:p>
    <w:p w:rsidR="001362A3" w:rsidRDefault="001362A3" w:rsidP="001362A3">
      <w:pPr>
        <w:tabs>
          <w:tab w:val="left" w:pos="1080"/>
        </w:tabs>
        <w:spacing w:line="360" w:lineRule="auto"/>
        <w:jc w:val="both"/>
        <w:rPr>
          <w:rFonts w:ascii="Arial" w:hAnsi="Arial" w:cs="Tahoma"/>
          <w:lang w:val="es-MX"/>
        </w:rPr>
      </w:pPr>
      <w:r>
        <w:rPr>
          <w:rFonts w:ascii="Arial" w:hAnsi="Arial" w:cs="Tahoma"/>
          <w:lang w:val="es-MX"/>
        </w:rPr>
        <w:t xml:space="preserve">Subestación ETESAL ATEOS cuenta con 50MVA la cual alimenta a subestación de Lourdes con 7MVA, subestación </w:t>
      </w:r>
      <w:proofErr w:type="gramStart"/>
      <w:r>
        <w:rPr>
          <w:rFonts w:ascii="Arial" w:hAnsi="Arial" w:cs="Tahoma"/>
          <w:lang w:val="es-MX"/>
        </w:rPr>
        <w:t>Ateos</w:t>
      </w:r>
      <w:proofErr w:type="gramEnd"/>
      <w:r>
        <w:rPr>
          <w:rFonts w:ascii="Arial" w:hAnsi="Arial" w:cs="Tahoma"/>
          <w:lang w:val="es-MX"/>
        </w:rPr>
        <w:t xml:space="preserve"> con 14MVA, subestación San Emilio con 6.5MVA y TROPIC FOOD con 2MVA. Dando un total de 29.5MVA utilizados por subestación ETESAL ATEOS.</w:t>
      </w:r>
    </w:p>
    <w:p w:rsidR="001362A3" w:rsidRDefault="001362A3" w:rsidP="001362A3">
      <w:pPr>
        <w:tabs>
          <w:tab w:val="left" w:pos="1080"/>
        </w:tabs>
        <w:spacing w:line="360" w:lineRule="auto"/>
        <w:jc w:val="both"/>
        <w:rPr>
          <w:rFonts w:ascii="Arial" w:hAnsi="Arial" w:cs="Tahoma"/>
          <w:lang w:val="es-MX"/>
        </w:rPr>
      </w:pPr>
      <w:r>
        <w:rPr>
          <w:rFonts w:ascii="Arial" w:hAnsi="Arial" w:cs="Tahoma"/>
          <w:lang w:val="es-MX"/>
        </w:rPr>
        <w:t xml:space="preserve">Las condiciones en que se encuentran las subestaciones ETESAL OPICO y ETESAL ATEOS indican que para poder balancear cargas y hacer interconexión entre ambas debe entregar subestación ETESAL ATEOS a subestación San Emilio a Subastación ETESAL SOYAPANGO quedando así ETESAL ATEOS con una carga total de 23MVA. </w:t>
      </w:r>
    </w:p>
    <w:p w:rsidR="001362A3" w:rsidRDefault="001362A3" w:rsidP="001362A3">
      <w:pPr>
        <w:tabs>
          <w:tab w:val="left" w:pos="1080"/>
        </w:tabs>
        <w:spacing w:line="360" w:lineRule="auto"/>
        <w:jc w:val="both"/>
        <w:rPr>
          <w:rFonts w:ascii="Arial" w:hAnsi="Arial" w:cs="Tahoma"/>
          <w:lang w:val="es-MX"/>
        </w:rPr>
      </w:pPr>
      <w:r>
        <w:rPr>
          <w:rFonts w:ascii="Arial" w:hAnsi="Arial" w:cs="Tahoma"/>
          <w:lang w:val="es-MX"/>
        </w:rPr>
        <w:t>Esto quiere decir que subestación ETESAL OPICO puede alimentar sin ningún problema a subestación ETESAL ATEOS y viceversa tomando en cuenta que la línea a diseñar tiene la capacidad de transportar 35MVA.</w:t>
      </w:r>
    </w:p>
    <w:tbl>
      <w:tblPr>
        <w:tblW w:w="11139" w:type="dxa"/>
        <w:tblInd w:w="-1007" w:type="dxa"/>
        <w:tblCellMar>
          <w:left w:w="70" w:type="dxa"/>
          <w:right w:w="70" w:type="dxa"/>
        </w:tblCellMar>
        <w:tblLook w:val="04A0"/>
      </w:tblPr>
      <w:tblGrid>
        <w:gridCol w:w="2255"/>
        <w:gridCol w:w="3122"/>
        <w:gridCol w:w="1791"/>
        <w:gridCol w:w="3971"/>
      </w:tblGrid>
      <w:tr w:rsidR="001362A3" w:rsidRPr="00594AB2" w:rsidTr="006C0FF0">
        <w:trPr>
          <w:trHeight w:val="319"/>
        </w:trPr>
        <w:tc>
          <w:tcPr>
            <w:tcW w:w="1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594AB2">
              <w:rPr>
                <w:rFonts w:ascii="Arial" w:hAnsi="Arial" w:cs="Arial"/>
                <w:color w:val="000000"/>
                <w:lang w:val="es-CO" w:eastAsia="es-CO"/>
              </w:rPr>
              <w:t>DETALLE DE CARGAS.</w:t>
            </w:r>
          </w:p>
        </w:tc>
      </w:tr>
      <w:tr w:rsidR="001362A3" w:rsidRPr="00594AB2" w:rsidTr="006C0FF0">
        <w:trPr>
          <w:trHeight w:val="319"/>
        </w:trPr>
        <w:tc>
          <w:tcPr>
            <w:tcW w:w="5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594AB2">
              <w:rPr>
                <w:rFonts w:ascii="Arial" w:hAnsi="Arial" w:cs="Arial"/>
                <w:color w:val="000000"/>
                <w:lang w:val="es-CO" w:eastAsia="es-CO"/>
              </w:rPr>
              <w:t>Etesal Opico (50MVA)</w:t>
            </w:r>
          </w:p>
        </w:tc>
        <w:tc>
          <w:tcPr>
            <w:tcW w:w="5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594AB2">
              <w:rPr>
                <w:rFonts w:ascii="Arial" w:hAnsi="Arial" w:cs="Arial"/>
                <w:color w:val="000000"/>
                <w:lang w:val="es-CO" w:eastAsia="es-CO"/>
              </w:rPr>
              <w:t>Etesal Ateos (50MVA)</w:t>
            </w:r>
          </w:p>
        </w:tc>
      </w:tr>
      <w:tr w:rsidR="001362A3" w:rsidRPr="00594AB2" w:rsidTr="006C0FF0">
        <w:trPr>
          <w:trHeight w:val="319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594AB2">
              <w:rPr>
                <w:rFonts w:ascii="Arial" w:hAnsi="Arial" w:cs="Arial"/>
                <w:color w:val="000000"/>
                <w:lang w:val="es-CO" w:eastAsia="es-CO"/>
              </w:rPr>
              <w:t xml:space="preserve">Sub </w:t>
            </w:r>
            <w:proofErr w:type="spellStart"/>
            <w:r w:rsidRPr="00594AB2">
              <w:rPr>
                <w:rFonts w:ascii="Arial" w:hAnsi="Arial" w:cs="Arial"/>
                <w:color w:val="000000"/>
                <w:lang w:val="es-CO" w:eastAsia="es-CO"/>
              </w:rPr>
              <w:t>Quezaltepeque</w:t>
            </w:r>
            <w:proofErr w:type="spellEnd"/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594AB2">
              <w:rPr>
                <w:rFonts w:ascii="Arial" w:hAnsi="Arial" w:cs="Arial"/>
                <w:color w:val="000000"/>
                <w:lang w:val="es-CO" w:eastAsia="es-CO"/>
              </w:rPr>
              <w:t>14 MVA Capacidad al 50%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594AB2">
              <w:rPr>
                <w:rFonts w:ascii="Arial" w:hAnsi="Arial" w:cs="Arial"/>
                <w:color w:val="000000"/>
                <w:lang w:val="es-CO" w:eastAsia="es-CO"/>
              </w:rPr>
              <w:t>Sub Lourdes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594AB2">
              <w:rPr>
                <w:rFonts w:ascii="Arial" w:hAnsi="Arial" w:cs="Arial"/>
                <w:color w:val="000000"/>
                <w:lang w:val="es-CO" w:eastAsia="es-CO"/>
              </w:rPr>
              <w:t>7 MVA</w:t>
            </w:r>
          </w:p>
        </w:tc>
      </w:tr>
      <w:tr w:rsidR="001362A3" w:rsidRPr="00594AB2" w:rsidTr="006C0FF0">
        <w:trPr>
          <w:trHeight w:val="319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594AB2">
              <w:rPr>
                <w:rFonts w:ascii="Arial" w:hAnsi="Arial" w:cs="Arial"/>
                <w:color w:val="000000"/>
                <w:lang w:val="es-CO" w:eastAsia="es-CO"/>
              </w:rPr>
              <w:t>Sub Sitio El Niño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594AB2">
              <w:rPr>
                <w:rFonts w:ascii="Arial" w:hAnsi="Arial" w:cs="Arial"/>
                <w:color w:val="000000"/>
                <w:lang w:val="es-CO" w:eastAsia="es-CO"/>
              </w:rPr>
              <w:t>30 MVA Capacidad al 50%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594AB2">
              <w:rPr>
                <w:rFonts w:ascii="Arial" w:hAnsi="Arial" w:cs="Arial"/>
                <w:color w:val="000000"/>
                <w:lang w:val="es-CO" w:eastAsia="es-CO"/>
              </w:rPr>
              <w:t>Sub Ateos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594AB2">
              <w:rPr>
                <w:rFonts w:ascii="Arial" w:hAnsi="Arial" w:cs="Arial"/>
                <w:color w:val="000000"/>
                <w:lang w:val="es-CO" w:eastAsia="es-CO"/>
              </w:rPr>
              <w:t>14 MVA</w:t>
            </w:r>
          </w:p>
        </w:tc>
      </w:tr>
      <w:tr w:rsidR="001362A3" w:rsidRPr="00594AB2" w:rsidTr="006C0FF0">
        <w:trPr>
          <w:trHeight w:val="319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594AB2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594AB2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rPr>
                <w:rFonts w:ascii="Arial" w:hAnsi="Arial" w:cs="Arial"/>
                <w:color w:val="000000"/>
                <w:lang w:val="es-CO" w:eastAsia="es-CO"/>
              </w:rPr>
            </w:pPr>
            <w:proofErr w:type="spellStart"/>
            <w:r w:rsidRPr="00594AB2">
              <w:rPr>
                <w:rFonts w:ascii="Arial" w:hAnsi="Arial" w:cs="Arial"/>
                <w:color w:val="000000"/>
                <w:lang w:val="es-CO" w:eastAsia="es-CO"/>
              </w:rPr>
              <w:t>Tropid</w:t>
            </w:r>
            <w:proofErr w:type="spellEnd"/>
            <w:r w:rsidRPr="00594AB2">
              <w:rPr>
                <w:rFonts w:ascii="Arial" w:hAnsi="Arial" w:cs="Arial"/>
                <w:color w:val="000000"/>
                <w:lang w:val="es-CO" w:eastAsia="es-CO"/>
              </w:rPr>
              <w:t xml:space="preserve"> </w:t>
            </w:r>
            <w:proofErr w:type="spellStart"/>
            <w:r w:rsidRPr="00594AB2">
              <w:rPr>
                <w:rFonts w:ascii="Arial" w:hAnsi="Arial" w:cs="Arial"/>
                <w:color w:val="000000"/>
                <w:lang w:val="es-CO" w:eastAsia="es-CO"/>
              </w:rPr>
              <w:t>Food</w:t>
            </w:r>
            <w:proofErr w:type="spellEnd"/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594AB2">
              <w:rPr>
                <w:rFonts w:ascii="Arial" w:hAnsi="Arial" w:cs="Arial"/>
                <w:color w:val="000000"/>
                <w:lang w:val="es-CO" w:eastAsia="es-CO"/>
              </w:rPr>
              <w:t>2 MVA</w:t>
            </w:r>
          </w:p>
        </w:tc>
      </w:tr>
      <w:tr w:rsidR="001362A3" w:rsidRPr="00594AB2" w:rsidTr="006C0FF0">
        <w:trPr>
          <w:trHeight w:val="319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594AB2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594AB2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rPr>
                <w:rFonts w:ascii="Arial" w:hAnsi="Arial" w:cs="Arial"/>
                <w:color w:val="FF0000"/>
                <w:lang w:val="es-CO" w:eastAsia="es-CO"/>
              </w:rPr>
            </w:pPr>
            <w:r w:rsidRPr="00594AB2">
              <w:rPr>
                <w:rFonts w:ascii="Arial" w:hAnsi="Arial" w:cs="Arial"/>
                <w:color w:val="FF0000"/>
                <w:lang w:val="es-CO" w:eastAsia="es-CO"/>
              </w:rPr>
              <w:t>Sub San Emilio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rPr>
                <w:rFonts w:ascii="Arial" w:hAnsi="Arial" w:cs="Arial"/>
                <w:color w:val="FF0000"/>
                <w:lang w:val="es-CO" w:eastAsia="es-CO"/>
              </w:rPr>
            </w:pPr>
            <w:r w:rsidRPr="00594AB2">
              <w:rPr>
                <w:rFonts w:ascii="Arial" w:hAnsi="Arial" w:cs="Arial"/>
                <w:color w:val="FF0000"/>
                <w:lang w:val="es-CO" w:eastAsia="es-CO"/>
              </w:rPr>
              <w:t>6.5 MVA</w:t>
            </w:r>
          </w:p>
        </w:tc>
      </w:tr>
      <w:tr w:rsidR="001362A3" w:rsidRPr="00594AB2" w:rsidTr="006C0FF0">
        <w:trPr>
          <w:trHeight w:val="319"/>
        </w:trPr>
        <w:tc>
          <w:tcPr>
            <w:tcW w:w="2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</w:pPr>
            <w:r w:rsidRPr="00594AB2"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  <w:t>Demanda MVA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</w:pPr>
            <w:r w:rsidRPr="00594AB2"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  <w:t>7 MVA + 15 MVA =22 MVA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</w:pPr>
            <w:r w:rsidRPr="00594AB2"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  <w:t>Demanda MVA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2A3" w:rsidRPr="00594AB2" w:rsidRDefault="001362A3" w:rsidP="006C0FF0">
            <w:pPr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</w:pPr>
            <w:r w:rsidRPr="00594AB2"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  <w:t>7 MVA + 14 MVA+2 MVA =23MVA</w:t>
            </w:r>
          </w:p>
        </w:tc>
      </w:tr>
    </w:tbl>
    <w:p w:rsidR="001362A3" w:rsidRPr="00E828BB" w:rsidRDefault="001362A3" w:rsidP="001362A3">
      <w:pPr>
        <w:jc w:val="both"/>
        <w:rPr>
          <w:rFonts w:ascii="Arial" w:hAnsi="Arial" w:cs="Arial"/>
          <w:color w:val="000000"/>
          <w:lang w:val="es-CO" w:eastAsia="es-CO"/>
        </w:rPr>
      </w:pPr>
      <w:r w:rsidRPr="00E828BB">
        <w:rPr>
          <w:rFonts w:ascii="Arial" w:hAnsi="Arial" w:cs="Arial"/>
          <w:color w:val="000000"/>
          <w:lang w:val="es-CO" w:eastAsia="es-CO"/>
        </w:rPr>
        <w:t>Nota: Para lograr interconexión  de subestación Etesal Ateos con Etesal Opico y suplir demanda será necesario que Etesal Ateos entregue Sub San Emilio a Sub Soyapango.</w:t>
      </w:r>
    </w:p>
    <w:p w:rsidR="00C872EE" w:rsidRPr="001362A3" w:rsidRDefault="00C872EE">
      <w:pPr>
        <w:rPr>
          <w:lang w:val="es-CO"/>
        </w:rPr>
      </w:pPr>
    </w:p>
    <w:sectPr w:rsidR="00C872EE" w:rsidRPr="001362A3" w:rsidSect="00C872E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1362A3"/>
    <w:rsid w:val="001362A3"/>
    <w:rsid w:val="00C87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1612</Characters>
  <Application>Microsoft Office Word</Application>
  <DocSecurity>0</DocSecurity>
  <Lines>13</Lines>
  <Paragraphs>3</Paragraphs>
  <ScaleCrop>false</ScaleCrop>
  <Company>Windows uE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WinuE</cp:lastModifiedBy>
  <cp:revision>1</cp:revision>
  <dcterms:created xsi:type="dcterms:W3CDTF">2008-09-07T20:57:00Z</dcterms:created>
  <dcterms:modified xsi:type="dcterms:W3CDTF">2008-09-07T20:59:00Z</dcterms:modified>
</cp:coreProperties>
</file>